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10" w:rsidRDefault="00EA3BD7" w:rsidP="007B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INTEGRAÇÃO FINANCEIRA METADADOS</w:t>
      </w:r>
      <w:r w:rsidR="007B4E1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6E9" w:rsidRDefault="004D26E9" w:rsidP="007B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BANCO DE DADOS</w:t>
      </w: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E10" w:rsidRPr="007B4E10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Títulos pa</w:t>
      </w:r>
      <w:r w:rsidR="007B4E10" w:rsidRPr="007B4E10">
        <w:rPr>
          <w:rFonts w:ascii="Arial" w:hAnsi="Arial" w:cs="Arial"/>
          <w:b/>
          <w:bCs/>
          <w:sz w:val="24"/>
          <w:szCs w:val="24"/>
        </w:rPr>
        <w:t>ssíveis de Integração</w:t>
      </w:r>
      <w:r>
        <w:rPr>
          <w:rFonts w:ascii="Arial" w:hAnsi="Arial" w:cs="Arial"/>
          <w:b/>
          <w:bCs/>
          <w:sz w:val="24"/>
          <w:szCs w:val="24"/>
        </w:rPr>
        <w:t xml:space="preserve"> (conforme necessidade do Cliente)</w:t>
      </w:r>
      <w:r w:rsidR="007B4E10" w:rsidRPr="007B4E10">
        <w:rPr>
          <w:rFonts w:ascii="Arial" w:hAnsi="Arial" w:cs="Arial"/>
          <w:b/>
          <w:bCs/>
          <w:sz w:val="24"/>
          <w:szCs w:val="24"/>
        </w:rPr>
        <w:t>: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 xml:space="preserve">a) Remessas Bancárias </w:t>
      </w:r>
      <w:r>
        <w:rPr>
          <w:rFonts w:ascii="Arial" w:hAnsi="Arial" w:cs="Arial"/>
          <w:sz w:val="24"/>
          <w:szCs w:val="24"/>
        </w:rPr>
        <w:t>(Bradesco, CEF, ITAÚ, Banco do Brasil</w:t>
      </w:r>
      <w:r w:rsidR="0094191D">
        <w:rPr>
          <w:rFonts w:ascii="Arial" w:hAnsi="Arial" w:cs="Arial"/>
          <w:sz w:val="24"/>
          <w:szCs w:val="24"/>
        </w:rPr>
        <w:t>, Santander, HSBC</w:t>
      </w:r>
      <w:r w:rsidR="00B93FD5">
        <w:rPr>
          <w:rFonts w:ascii="Arial" w:hAnsi="Arial" w:cs="Arial"/>
          <w:sz w:val="24"/>
          <w:szCs w:val="24"/>
        </w:rPr>
        <w:t>, Banrisul</w:t>
      </w:r>
      <w:r w:rsidR="009331D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4191D">
        <w:rPr>
          <w:rFonts w:ascii="Arial" w:hAnsi="Arial" w:cs="Arial"/>
          <w:sz w:val="24"/>
          <w:szCs w:val="24"/>
        </w:rPr>
        <w:t>Sicredi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 xml:space="preserve"> (Líquidos de Folha Mensal, Adiantamento Salarial, Antecipação 13º Salário, 13º Salário, Estagiários, Suplementar, Avulsa, Férias e Rescisões);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b) GPS (Mensal, 13º Salário, Diferença Dissídio);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c) GRCS dos Empregados: (Contribuição Sindical de Março</w:t>
      </w:r>
      <w:r>
        <w:rPr>
          <w:rFonts w:ascii="Arial" w:hAnsi="Arial" w:cs="Arial"/>
          <w:sz w:val="24"/>
          <w:szCs w:val="24"/>
        </w:rPr>
        <w:t xml:space="preserve"> para cada Sindicato</w:t>
      </w:r>
      <w:r w:rsidRPr="007B4E10">
        <w:rPr>
          <w:rFonts w:ascii="Arial" w:hAnsi="Arial" w:cs="Arial"/>
          <w:sz w:val="24"/>
          <w:szCs w:val="24"/>
        </w:rPr>
        <w:t>);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FGTS (</w:t>
      </w:r>
      <w:proofErr w:type="spellStart"/>
      <w:r>
        <w:rPr>
          <w:rFonts w:ascii="Arial" w:hAnsi="Arial" w:cs="Arial"/>
          <w:sz w:val="24"/>
          <w:szCs w:val="24"/>
        </w:rPr>
        <w:t>Sefip</w:t>
      </w:r>
      <w:proofErr w:type="spellEnd"/>
      <w:r>
        <w:rPr>
          <w:rFonts w:ascii="Arial" w:hAnsi="Arial" w:cs="Arial"/>
          <w:sz w:val="24"/>
          <w:szCs w:val="24"/>
        </w:rPr>
        <w:t xml:space="preserve"> Mensal - códigos 115</w:t>
      </w:r>
      <w:r w:rsidR="00CA0328">
        <w:rPr>
          <w:rFonts w:ascii="Arial" w:hAnsi="Arial" w:cs="Arial"/>
          <w:sz w:val="24"/>
          <w:szCs w:val="24"/>
        </w:rPr>
        <w:t>, 150, 155</w:t>
      </w:r>
      <w:r w:rsidRPr="007B4E10">
        <w:rPr>
          <w:rFonts w:ascii="Arial" w:hAnsi="Arial" w:cs="Arial"/>
          <w:sz w:val="24"/>
          <w:szCs w:val="24"/>
        </w:rPr>
        <w:t xml:space="preserve"> e 650);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e) Contribuições aos Sindicatos (Mensalidades Sindicais, Contribuições Assistenciais e Confederativas</w:t>
      </w:r>
      <w:r>
        <w:rPr>
          <w:rFonts w:ascii="Arial" w:hAnsi="Arial" w:cs="Arial"/>
          <w:sz w:val="24"/>
          <w:szCs w:val="24"/>
        </w:rPr>
        <w:t xml:space="preserve"> para cada Sindicato</w:t>
      </w:r>
      <w:r w:rsidRPr="007B4E10">
        <w:rPr>
          <w:rFonts w:ascii="Arial" w:hAnsi="Arial" w:cs="Arial"/>
          <w:sz w:val="24"/>
          <w:szCs w:val="24"/>
        </w:rPr>
        <w:t>);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f) RPA - Pagamento de Autônomos;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91253E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DARF (Imposto de Renda s/Salários, Autônomos, PLR, PIS)</w:t>
      </w:r>
      <w:r w:rsidR="007B4E10" w:rsidRPr="007B4E10">
        <w:rPr>
          <w:rFonts w:ascii="Arial" w:hAnsi="Arial" w:cs="Arial"/>
          <w:sz w:val="24"/>
          <w:szCs w:val="24"/>
        </w:rPr>
        <w:t xml:space="preserve"> - Uma única Guia por Empresa;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h) GRRF - Uma única geração por Data Base com inclusão de um Título para cada Rescindido;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i) Pensionistas - Pensões Alimentícias</w:t>
      </w:r>
      <w:r>
        <w:rPr>
          <w:rFonts w:ascii="Arial" w:hAnsi="Arial" w:cs="Arial"/>
          <w:sz w:val="24"/>
          <w:szCs w:val="24"/>
        </w:rPr>
        <w:t xml:space="preserve"> (um título para cada Pensionista);</w:t>
      </w: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328">
        <w:rPr>
          <w:rFonts w:ascii="Arial" w:hAnsi="Arial" w:cs="Arial"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 xml:space="preserve"> Empréstimos Bancários;</w:t>
      </w:r>
    </w:p>
    <w:p w:rsid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0328" w:rsidRDefault="00CA0328" w:rsidP="00CA0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k) Pagamentos por Cheque: </w:t>
      </w:r>
      <w:r w:rsidRPr="007B4E10">
        <w:rPr>
          <w:rFonts w:ascii="Arial" w:hAnsi="Arial" w:cs="Arial"/>
          <w:sz w:val="24"/>
          <w:szCs w:val="24"/>
        </w:rPr>
        <w:t>(Líquidos de Folha Mensal, Adiantamento Salarial, Antecipação 13º Salário, 13º Salário, Estagiários, Suplementar, Avulsa, Férias e Rescisões);</w:t>
      </w:r>
    </w:p>
    <w:p w:rsidR="00CA0328" w:rsidRP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l) Demais pagamentos/descontos efetuados na Folha de Pagamento, cujo somatório dos valores seja exatamente igual ao título a ser pago;</w:t>
      </w:r>
    </w:p>
    <w:p w:rsidR="00CA0328" w:rsidRP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P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4E10">
        <w:rPr>
          <w:rFonts w:ascii="Arial" w:hAnsi="Arial" w:cs="Arial"/>
          <w:b/>
          <w:sz w:val="24"/>
          <w:szCs w:val="24"/>
        </w:rPr>
        <w:t xml:space="preserve">Informações </w:t>
      </w:r>
      <w:r w:rsidR="0098332D">
        <w:rPr>
          <w:rFonts w:ascii="Arial" w:hAnsi="Arial" w:cs="Arial"/>
          <w:b/>
          <w:sz w:val="24"/>
          <w:szCs w:val="24"/>
        </w:rPr>
        <w:t xml:space="preserve">Financeiras </w:t>
      </w:r>
      <w:bookmarkStart w:id="0" w:name="_GoBack"/>
      <w:bookmarkEnd w:id="0"/>
      <w:r w:rsidRPr="007B4E10">
        <w:rPr>
          <w:rFonts w:ascii="Arial" w:hAnsi="Arial" w:cs="Arial"/>
          <w:b/>
          <w:sz w:val="24"/>
          <w:szCs w:val="24"/>
        </w:rPr>
        <w:t xml:space="preserve">necessárias para a parametrização das Regras </w:t>
      </w:r>
      <w:r>
        <w:rPr>
          <w:rFonts w:ascii="Arial" w:hAnsi="Arial" w:cs="Arial"/>
          <w:b/>
          <w:sz w:val="24"/>
          <w:szCs w:val="24"/>
        </w:rPr>
        <w:t xml:space="preserve">para </w:t>
      </w:r>
      <w:r w:rsidRPr="007B4E10">
        <w:rPr>
          <w:rFonts w:ascii="Arial" w:hAnsi="Arial" w:cs="Arial"/>
          <w:b/>
          <w:sz w:val="24"/>
          <w:szCs w:val="24"/>
        </w:rPr>
        <w:t>gera</w:t>
      </w:r>
      <w:r>
        <w:rPr>
          <w:rFonts w:ascii="Arial" w:hAnsi="Arial" w:cs="Arial"/>
          <w:b/>
          <w:sz w:val="24"/>
          <w:szCs w:val="24"/>
        </w:rPr>
        <w:t>ção</w:t>
      </w:r>
      <w:r w:rsidRPr="007B4E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7B4E10">
        <w:rPr>
          <w:rFonts w:ascii="Arial" w:hAnsi="Arial" w:cs="Arial"/>
          <w:b/>
          <w:sz w:val="24"/>
          <w:szCs w:val="24"/>
        </w:rPr>
        <w:t>esses títulos:</w:t>
      </w:r>
    </w:p>
    <w:p w:rsidR="007B4E10" w:rsidRPr="0098332D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8332D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98332D" w:rsidRPr="0098332D">
        <w:rPr>
          <w:rFonts w:ascii="Arial" w:hAnsi="Arial" w:cs="Arial"/>
          <w:b/>
          <w:color w:val="FF0000"/>
          <w:sz w:val="24"/>
          <w:szCs w:val="24"/>
        </w:rPr>
        <w:t xml:space="preserve">Código </w:t>
      </w:r>
      <w:proofErr w:type="gramStart"/>
      <w:r w:rsidR="0098332D" w:rsidRPr="0098332D">
        <w:rPr>
          <w:rFonts w:ascii="Arial" w:hAnsi="Arial" w:cs="Arial"/>
          <w:b/>
          <w:color w:val="FF0000"/>
          <w:sz w:val="24"/>
          <w:szCs w:val="24"/>
        </w:rPr>
        <w:t>da</w:t>
      </w:r>
      <w:r w:rsidR="0098332D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End"/>
      <w:r w:rsidR="0098332D">
        <w:rPr>
          <w:rFonts w:ascii="Arial" w:hAnsi="Arial" w:cs="Arial"/>
          <w:b/>
          <w:color w:val="FF0000"/>
          <w:sz w:val="24"/>
          <w:szCs w:val="24"/>
        </w:rPr>
        <w:t>s)</w:t>
      </w:r>
      <w:r w:rsidR="0098332D" w:rsidRPr="0098332D">
        <w:rPr>
          <w:rFonts w:ascii="Arial" w:hAnsi="Arial" w:cs="Arial"/>
          <w:b/>
          <w:color w:val="FF0000"/>
          <w:sz w:val="24"/>
          <w:szCs w:val="24"/>
        </w:rPr>
        <w:t xml:space="preserve"> Empresa</w:t>
      </w:r>
      <w:r w:rsidR="0098332D">
        <w:rPr>
          <w:rFonts w:ascii="Arial" w:hAnsi="Arial" w:cs="Arial"/>
          <w:b/>
          <w:color w:val="FF0000"/>
          <w:sz w:val="24"/>
          <w:szCs w:val="24"/>
        </w:rPr>
        <w:t>(s)</w:t>
      </w:r>
      <w:r w:rsidR="0098332D" w:rsidRPr="0098332D">
        <w:rPr>
          <w:rFonts w:ascii="Arial" w:hAnsi="Arial" w:cs="Arial"/>
          <w:b/>
          <w:color w:val="FF0000"/>
          <w:sz w:val="24"/>
          <w:szCs w:val="24"/>
        </w:rPr>
        <w:t xml:space="preserve"> Mãe</w:t>
      </w:r>
      <w:r w:rsidR="0098332D">
        <w:rPr>
          <w:rFonts w:ascii="Arial" w:hAnsi="Arial" w:cs="Arial"/>
          <w:b/>
          <w:color w:val="FF0000"/>
          <w:sz w:val="24"/>
          <w:szCs w:val="24"/>
        </w:rPr>
        <w:t>(s)</w:t>
      </w:r>
      <w:r w:rsidR="0098332D" w:rsidRPr="0098332D">
        <w:rPr>
          <w:rFonts w:ascii="Arial" w:hAnsi="Arial" w:cs="Arial"/>
          <w:b/>
          <w:color w:val="FF0000"/>
          <w:sz w:val="24"/>
          <w:szCs w:val="24"/>
        </w:rPr>
        <w:t>;</w:t>
      </w:r>
    </w:p>
    <w:p w:rsidR="0098332D" w:rsidRPr="0098332D" w:rsidRDefault="0098332D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8332D">
        <w:rPr>
          <w:rFonts w:ascii="Arial" w:hAnsi="Arial" w:cs="Arial"/>
          <w:b/>
          <w:color w:val="FF0000"/>
          <w:sz w:val="24"/>
          <w:szCs w:val="24"/>
        </w:rPr>
        <w:t>- Código dos Estabelecimentos;</w:t>
      </w:r>
    </w:p>
    <w:p w:rsidR="007B4E10" w:rsidRPr="0098332D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8332D">
        <w:rPr>
          <w:rFonts w:ascii="Arial" w:hAnsi="Arial" w:cs="Arial"/>
          <w:b/>
          <w:color w:val="FF0000"/>
          <w:sz w:val="24"/>
          <w:szCs w:val="24"/>
        </w:rPr>
        <w:t>- Fornecedor (código do Fornecedor de cada título no Sistema Financeiro);</w:t>
      </w:r>
    </w:p>
    <w:p w:rsid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27DF"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Cada título distinto deve ter uma Conta, um Fornecedor e um Histórico associado. No caso dos Pagamentos de Folha, isso vale também para cada tipo de pagamento, conforme discriminado nos itens “a” e “k”;</w:t>
      </w:r>
    </w:p>
    <w:p w:rsidR="00CA0328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E10" w:rsidRDefault="007B4E10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4E10">
        <w:rPr>
          <w:rFonts w:ascii="Arial" w:hAnsi="Arial" w:cs="Arial"/>
          <w:b/>
          <w:bCs/>
          <w:sz w:val="24"/>
          <w:szCs w:val="24"/>
        </w:rPr>
        <w:t>- Títulos que não serão Integrados:</w:t>
      </w:r>
    </w:p>
    <w:p w:rsidR="00CA0328" w:rsidRPr="007B4E10" w:rsidRDefault="00CA0328" w:rsidP="007B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5E77" w:rsidRPr="00CA0328" w:rsidRDefault="007B4E10" w:rsidP="00CA0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E10">
        <w:rPr>
          <w:rFonts w:ascii="Arial" w:hAnsi="Arial" w:cs="Arial"/>
          <w:sz w:val="24"/>
          <w:szCs w:val="24"/>
        </w:rPr>
        <w:t>Juros, Multas, Notas Fiscais de Terceiros (Cooperativas (Unimed), Serviços Médicos, Transporte, Refeição, GPS 2631 (Retenção Notas Fiscais) e demais serviços, cujos valores totais das Notas diferem dos valores descontados na Folha ou não s</w:t>
      </w:r>
      <w:r w:rsidR="00CA0328">
        <w:rPr>
          <w:rFonts w:ascii="Arial" w:hAnsi="Arial" w:cs="Arial"/>
          <w:sz w:val="24"/>
          <w:szCs w:val="24"/>
        </w:rPr>
        <w:t>ão vinculados aos funcionários).</w:t>
      </w:r>
    </w:p>
    <w:sectPr w:rsidR="002A5E77" w:rsidRPr="00CA0328" w:rsidSect="008426B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10"/>
    <w:rsid w:val="000706B2"/>
    <w:rsid w:val="002A5E77"/>
    <w:rsid w:val="004D26E9"/>
    <w:rsid w:val="007B4E10"/>
    <w:rsid w:val="0091253E"/>
    <w:rsid w:val="009331D4"/>
    <w:rsid w:val="0094191D"/>
    <w:rsid w:val="0098332D"/>
    <w:rsid w:val="00B527DF"/>
    <w:rsid w:val="00B93FD5"/>
    <w:rsid w:val="00CA0328"/>
    <w:rsid w:val="00E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988"/>
  <w15:docId w15:val="{BFC6D9FE-CF88-4B0D-97CE-11CFB4FE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</dc:creator>
  <cp:lastModifiedBy>Rosmari Arboit</cp:lastModifiedBy>
  <cp:revision>11</cp:revision>
  <dcterms:created xsi:type="dcterms:W3CDTF">2012-03-15T13:43:00Z</dcterms:created>
  <dcterms:modified xsi:type="dcterms:W3CDTF">2019-05-08T00:12:00Z</dcterms:modified>
</cp:coreProperties>
</file>